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59" w:rsidRPr="00AB6C59" w:rsidRDefault="00AB6C59">
      <w:pPr>
        <w:pStyle w:val="ConsPlusTitle"/>
        <w:jc w:val="center"/>
        <w:outlineLvl w:val="0"/>
        <w:rPr>
          <w:rFonts w:ascii="Times New Roman" w:hAnsi="Times New Roman" w:cs="Times New Roman"/>
          <w:szCs w:val="22"/>
        </w:rPr>
      </w:pPr>
      <w:bookmarkStart w:id="0" w:name="_GoBack"/>
      <w:bookmarkEnd w:id="0"/>
      <w:r w:rsidRPr="00AB6C59">
        <w:rPr>
          <w:rFonts w:ascii="Times New Roman" w:hAnsi="Times New Roman" w:cs="Times New Roman"/>
          <w:szCs w:val="22"/>
        </w:rPr>
        <w:t>ДУМА ГОРОДСКОГО ОКРУГА ТОЛЬЯТТИ</w:t>
      </w: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САМАРСКОЙ ОБЛАСТИ</w:t>
      </w:r>
    </w:p>
    <w:p w:rsidR="00AB6C59" w:rsidRPr="00AB6C59" w:rsidRDefault="00AB6C59">
      <w:pPr>
        <w:pStyle w:val="ConsPlusTitle"/>
        <w:jc w:val="both"/>
        <w:rPr>
          <w:rFonts w:ascii="Times New Roman" w:hAnsi="Times New Roman" w:cs="Times New Roman"/>
          <w:szCs w:val="22"/>
        </w:rPr>
      </w:pP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РЕШЕНИЕ</w:t>
      </w: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от 9 июня 2021 г. N 972</w:t>
      </w:r>
    </w:p>
    <w:p w:rsidR="00AB6C59" w:rsidRPr="00AB6C59" w:rsidRDefault="00AB6C59">
      <w:pPr>
        <w:pStyle w:val="ConsPlusTitle"/>
        <w:jc w:val="both"/>
        <w:rPr>
          <w:rFonts w:ascii="Times New Roman" w:hAnsi="Times New Roman" w:cs="Times New Roman"/>
          <w:szCs w:val="22"/>
        </w:rPr>
      </w:pP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 xml:space="preserve">О </w:t>
      </w:r>
      <w:proofErr w:type="gramStart"/>
      <w:r w:rsidRPr="00AB6C59">
        <w:rPr>
          <w:rFonts w:ascii="Times New Roman" w:hAnsi="Times New Roman" w:cs="Times New Roman"/>
          <w:szCs w:val="22"/>
        </w:rPr>
        <w:t>ПОЛОЖЕНИИ</w:t>
      </w:r>
      <w:proofErr w:type="gramEnd"/>
      <w:r w:rsidRPr="00AB6C59">
        <w:rPr>
          <w:rFonts w:ascii="Times New Roman" w:hAnsi="Times New Roman" w:cs="Times New Roman"/>
          <w:szCs w:val="22"/>
        </w:rPr>
        <w:t xml:space="preserve"> О СОВЕТЕ НЕКОММЕРЧЕСКИХ ОРГАНИЗАЦИЙ ПРИ ДУМЕ</w:t>
      </w: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ГОРОДСКОГО ОКРУГА ТОЛЬЯТТИ</w:t>
      </w:r>
    </w:p>
    <w:p w:rsidR="00AB6C59" w:rsidRPr="00AB6C59" w:rsidRDefault="00AB6C5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C59" w:rsidRPr="00AB6C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59" w:rsidRPr="00AB6C59" w:rsidRDefault="00AB6C5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B6C59" w:rsidRPr="00AB6C59" w:rsidRDefault="00AB6C5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color w:val="392C69"/>
                <w:szCs w:val="22"/>
              </w:rPr>
              <w:t>Список изменяющих документов</w:t>
            </w:r>
          </w:p>
          <w:p w:rsidR="00AB6C59" w:rsidRPr="00AB6C59" w:rsidRDefault="00AB6C59">
            <w:pPr>
              <w:pStyle w:val="ConsPlusNormal"/>
              <w:jc w:val="center"/>
              <w:rPr>
                <w:rFonts w:ascii="Times New Roman" w:hAnsi="Times New Roman" w:cs="Times New Roman"/>
                <w:szCs w:val="22"/>
              </w:rPr>
            </w:pPr>
            <w:proofErr w:type="gramStart"/>
            <w:r w:rsidRPr="00AB6C59">
              <w:rPr>
                <w:rFonts w:ascii="Times New Roman" w:hAnsi="Times New Roman" w:cs="Times New Roman"/>
                <w:color w:val="392C69"/>
                <w:szCs w:val="22"/>
              </w:rPr>
              <w:t xml:space="preserve">(в ред. </w:t>
            </w:r>
            <w:hyperlink r:id="rId5">
              <w:r w:rsidRPr="00AB6C59">
                <w:rPr>
                  <w:rFonts w:ascii="Times New Roman" w:hAnsi="Times New Roman" w:cs="Times New Roman"/>
                  <w:color w:val="0000FF"/>
                  <w:szCs w:val="22"/>
                </w:rPr>
                <w:t>Решения</w:t>
              </w:r>
            </w:hyperlink>
            <w:r w:rsidRPr="00AB6C59">
              <w:rPr>
                <w:rFonts w:ascii="Times New Roman" w:hAnsi="Times New Roman" w:cs="Times New Roman"/>
                <w:color w:val="392C69"/>
                <w:szCs w:val="22"/>
              </w:rPr>
              <w:t xml:space="preserve"> Думы городского округа Тольятти Самарской области</w:t>
            </w:r>
            <w:proofErr w:type="gramEnd"/>
          </w:p>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color w:val="392C69"/>
                <w:szCs w:val="22"/>
              </w:rPr>
              <w:t>от 19.02.2025 N 455)</w:t>
            </w:r>
          </w:p>
        </w:tc>
        <w:tc>
          <w:tcPr>
            <w:tcW w:w="113" w:type="dxa"/>
            <w:tcBorders>
              <w:top w:val="nil"/>
              <w:left w:val="nil"/>
              <w:bottom w:val="nil"/>
              <w:right w:val="nil"/>
            </w:tcBorders>
            <w:shd w:val="clear" w:color="auto" w:fill="F4F3F8"/>
            <w:tcMar>
              <w:top w:w="0" w:type="dxa"/>
              <w:left w:w="0" w:type="dxa"/>
              <w:bottom w:w="0" w:type="dxa"/>
              <w:right w:w="0" w:type="dxa"/>
            </w:tcMar>
          </w:tcPr>
          <w:p w:rsidR="00AB6C59" w:rsidRPr="00AB6C59" w:rsidRDefault="00AB6C59">
            <w:pPr>
              <w:pStyle w:val="ConsPlusNormal"/>
              <w:rPr>
                <w:rFonts w:ascii="Times New Roman" w:hAnsi="Times New Roman" w:cs="Times New Roman"/>
                <w:szCs w:val="22"/>
              </w:rPr>
            </w:pPr>
          </w:p>
        </w:tc>
      </w:tr>
    </w:tbl>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 xml:space="preserve">Рассмотрев проект Положения о Совете некоммерческих организаций при Думе городского округа Тольятти, руководствуясь </w:t>
      </w:r>
      <w:hyperlink r:id="rId6">
        <w:r w:rsidRPr="00AB6C59">
          <w:rPr>
            <w:rFonts w:ascii="Times New Roman" w:hAnsi="Times New Roman" w:cs="Times New Roman"/>
            <w:color w:val="0000FF"/>
            <w:szCs w:val="22"/>
          </w:rPr>
          <w:t>Уставом</w:t>
        </w:r>
      </w:hyperlink>
      <w:r w:rsidRPr="00AB6C59">
        <w:rPr>
          <w:rFonts w:ascii="Times New Roman" w:hAnsi="Times New Roman" w:cs="Times New Roman"/>
          <w:szCs w:val="22"/>
        </w:rPr>
        <w:t xml:space="preserve"> городского округа Тольятти, Дума решила: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1. Утвердить </w:t>
      </w:r>
      <w:hyperlink w:anchor="P39">
        <w:r w:rsidRPr="00AB6C59">
          <w:rPr>
            <w:rFonts w:ascii="Times New Roman" w:hAnsi="Times New Roman" w:cs="Times New Roman"/>
            <w:color w:val="0000FF"/>
            <w:szCs w:val="22"/>
          </w:rPr>
          <w:t>Положение</w:t>
        </w:r>
      </w:hyperlink>
      <w:r w:rsidRPr="00AB6C59">
        <w:rPr>
          <w:rFonts w:ascii="Times New Roman" w:hAnsi="Times New Roman" w:cs="Times New Roman"/>
          <w:szCs w:val="22"/>
        </w:rPr>
        <w:t xml:space="preserve"> о Совете некоммерческих организаций при Думе городского округа Тольятти согласно приложению.</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Признать утратившими силу:</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1) </w:t>
      </w:r>
      <w:hyperlink r:id="rId7">
        <w:r w:rsidRPr="00AB6C59">
          <w:rPr>
            <w:rFonts w:ascii="Times New Roman" w:hAnsi="Times New Roman" w:cs="Times New Roman"/>
            <w:color w:val="0000FF"/>
            <w:szCs w:val="22"/>
          </w:rPr>
          <w:t>решение</w:t>
        </w:r>
      </w:hyperlink>
      <w:r w:rsidRPr="00AB6C59">
        <w:rPr>
          <w:rFonts w:ascii="Times New Roman" w:hAnsi="Times New Roman" w:cs="Times New Roman"/>
          <w:szCs w:val="22"/>
        </w:rPr>
        <w:t xml:space="preserve"> Думы городского округа Тольятти от 06.03.2019 N 168 "О </w:t>
      </w:r>
      <w:proofErr w:type="gramStart"/>
      <w:r w:rsidRPr="00AB6C59">
        <w:rPr>
          <w:rFonts w:ascii="Times New Roman" w:hAnsi="Times New Roman" w:cs="Times New Roman"/>
          <w:szCs w:val="22"/>
        </w:rPr>
        <w:t>Положении</w:t>
      </w:r>
      <w:proofErr w:type="gramEnd"/>
      <w:r w:rsidRPr="00AB6C59">
        <w:rPr>
          <w:rFonts w:ascii="Times New Roman" w:hAnsi="Times New Roman" w:cs="Times New Roman"/>
          <w:szCs w:val="22"/>
        </w:rPr>
        <w:t xml:space="preserve"> об Общественном совете при Думе городского округа Тольятти" (газета "Городские ведомости", 2019, 22 марта);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2) </w:t>
      </w:r>
      <w:hyperlink r:id="rId8">
        <w:r w:rsidRPr="00AB6C59">
          <w:rPr>
            <w:rFonts w:ascii="Times New Roman" w:hAnsi="Times New Roman" w:cs="Times New Roman"/>
            <w:color w:val="0000FF"/>
            <w:szCs w:val="22"/>
          </w:rPr>
          <w:t>решение</w:t>
        </w:r>
      </w:hyperlink>
      <w:r w:rsidRPr="00AB6C59">
        <w:rPr>
          <w:rFonts w:ascii="Times New Roman" w:hAnsi="Times New Roman" w:cs="Times New Roman"/>
          <w:szCs w:val="22"/>
        </w:rPr>
        <w:t xml:space="preserve"> Думы городского округа Тольятти от 06.07.2011 N 614 "О взаимодействии Думы городского округа Тольятти и негосударственных некоммерческих организаций" (газета "Городские ведомости", 2011, 23 июля).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Опубликовать настоящее Решение в газете "Городские ведомости".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Настоящее Решение вступает в силу со дня его официального опубликования.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Рекомендовать председателю Думы городского округа Тольятти (</w:t>
      </w:r>
      <w:proofErr w:type="spellStart"/>
      <w:r w:rsidRPr="00AB6C59">
        <w:rPr>
          <w:rFonts w:ascii="Times New Roman" w:hAnsi="Times New Roman" w:cs="Times New Roman"/>
          <w:szCs w:val="22"/>
        </w:rPr>
        <w:t>Остудин</w:t>
      </w:r>
      <w:proofErr w:type="spellEnd"/>
      <w:r w:rsidRPr="00AB6C59">
        <w:rPr>
          <w:rFonts w:ascii="Times New Roman" w:hAnsi="Times New Roman" w:cs="Times New Roman"/>
          <w:szCs w:val="22"/>
        </w:rPr>
        <w:t xml:space="preserve"> Н.И.):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опубликовать в газете "Городские ведомости" сообщение о начале формирования Совета некоммерческих организаций при Думе городского округа Тольятти;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разместить на официальном сайте Думы городского округа Тольятти сообщение о начале формирования Совета некоммерческих организаций при Думе городского округа Тольятти;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создать организационный комитет по формированию Совета некоммерческих организаций при Думе городского округа Тольятти.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Срок - июль 2021 года.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6. </w:t>
      </w:r>
      <w:proofErr w:type="gramStart"/>
      <w:r w:rsidRPr="00AB6C59">
        <w:rPr>
          <w:rFonts w:ascii="Times New Roman" w:hAnsi="Times New Roman" w:cs="Times New Roman"/>
          <w:szCs w:val="22"/>
        </w:rPr>
        <w:t>Предложить некоммерческим организациям (за исключением организаций, учредителями которых являются органы государственной власти и органы местного самоуправления), имеющим место нахождения руководящего органа в городском округе Тольятти в соответствии с уставом организации, направлять письменные заявки на имя председателя Думы городского округа Тольятти в течение 30 календарных дней со дня опубликования информации о начале формирования Совета некоммерческих организаций при Думе городского округа Тольятти.</w:t>
      </w:r>
      <w:proofErr w:type="gramEnd"/>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7. </w:t>
      </w:r>
      <w:proofErr w:type="gramStart"/>
      <w:r w:rsidRPr="00AB6C59">
        <w:rPr>
          <w:rFonts w:ascii="Times New Roman" w:hAnsi="Times New Roman" w:cs="Times New Roman"/>
          <w:szCs w:val="22"/>
        </w:rPr>
        <w:t>Контроль за</w:t>
      </w:r>
      <w:proofErr w:type="gramEnd"/>
      <w:r w:rsidRPr="00AB6C59">
        <w:rPr>
          <w:rFonts w:ascii="Times New Roman" w:hAnsi="Times New Roman" w:cs="Times New Roman"/>
          <w:szCs w:val="22"/>
        </w:rPr>
        <w:t xml:space="preserve"> выполнением настоящего Решения возложить на постоянную комиссию по местному самоуправлению и взаимодействию с общественными и некоммерческими организациями (</w:t>
      </w:r>
      <w:proofErr w:type="spellStart"/>
      <w:r w:rsidRPr="00AB6C59">
        <w:rPr>
          <w:rFonts w:ascii="Times New Roman" w:hAnsi="Times New Roman" w:cs="Times New Roman"/>
          <w:szCs w:val="22"/>
        </w:rPr>
        <w:t>Митковский</w:t>
      </w:r>
      <w:proofErr w:type="spellEnd"/>
      <w:r w:rsidRPr="00AB6C59">
        <w:rPr>
          <w:rFonts w:ascii="Times New Roman" w:hAnsi="Times New Roman" w:cs="Times New Roman"/>
          <w:szCs w:val="22"/>
        </w:rPr>
        <w:t xml:space="preserve"> П.Б.).</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Председатель Думы</w:t>
      </w: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lastRenderedPageBreak/>
        <w:t>Н.И.ОСТУДИН</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right"/>
        <w:outlineLvl w:val="0"/>
        <w:rPr>
          <w:rFonts w:ascii="Times New Roman" w:hAnsi="Times New Roman" w:cs="Times New Roman"/>
          <w:szCs w:val="22"/>
        </w:rPr>
      </w:pPr>
      <w:r w:rsidRPr="00AB6C59">
        <w:rPr>
          <w:rFonts w:ascii="Times New Roman" w:hAnsi="Times New Roman" w:cs="Times New Roman"/>
          <w:szCs w:val="22"/>
        </w:rPr>
        <w:t>Приложение</w:t>
      </w: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к Решению Думы</w:t>
      </w: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от 9 июня 2021 г. N 972</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jc w:val="center"/>
        <w:rPr>
          <w:rFonts w:ascii="Times New Roman" w:hAnsi="Times New Roman" w:cs="Times New Roman"/>
          <w:szCs w:val="22"/>
        </w:rPr>
      </w:pPr>
      <w:bookmarkStart w:id="1" w:name="P39"/>
      <w:bookmarkEnd w:id="1"/>
      <w:r w:rsidRPr="00AB6C59">
        <w:rPr>
          <w:rFonts w:ascii="Times New Roman" w:hAnsi="Times New Roman" w:cs="Times New Roman"/>
          <w:szCs w:val="22"/>
        </w:rPr>
        <w:t>ПОЛОЖЕНИЕ</w:t>
      </w: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О СОВЕТЕ НЕКОММЕРЧЕСКИХ ОРГАНИЗАЦИЙ ПРИ ДУМЕ</w:t>
      </w:r>
    </w:p>
    <w:p w:rsidR="00AB6C59" w:rsidRPr="00AB6C59" w:rsidRDefault="00AB6C59">
      <w:pPr>
        <w:pStyle w:val="ConsPlusTitle"/>
        <w:jc w:val="center"/>
        <w:rPr>
          <w:rFonts w:ascii="Times New Roman" w:hAnsi="Times New Roman" w:cs="Times New Roman"/>
          <w:szCs w:val="22"/>
        </w:rPr>
      </w:pPr>
      <w:r w:rsidRPr="00AB6C59">
        <w:rPr>
          <w:rFonts w:ascii="Times New Roman" w:hAnsi="Times New Roman" w:cs="Times New Roman"/>
          <w:szCs w:val="22"/>
        </w:rPr>
        <w:t>ГОРОДСКОГО ОКРУГА ТОЛЬЯТТИ</w:t>
      </w:r>
    </w:p>
    <w:p w:rsidR="00AB6C59" w:rsidRPr="00AB6C59" w:rsidRDefault="00AB6C59">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6C59" w:rsidRPr="00AB6C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C59" w:rsidRPr="00AB6C59" w:rsidRDefault="00AB6C59">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AB6C59" w:rsidRPr="00AB6C59" w:rsidRDefault="00AB6C59">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color w:val="392C69"/>
                <w:szCs w:val="22"/>
              </w:rPr>
              <w:t>Список изменяющих документов</w:t>
            </w:r>
          </w:p>
          <w:p w:rsidR="00AB6C59" w:rsidRPr="00AB6C59" w:rsidRDefault="00AB6C59">
            <w:pPr>
              <w:pStyle w:val="ConsPlusNormal"/>
              <w:jc w:val="center"/>
              <w:rPr>
                <w:rFonts w:ascii="Times New Roman" w:hAnsi="Times New Roman" w:cs="Times New Roman"/>
                <w:szCs w:val="22"/>
              </w:rPr>
            </w:pPr>
            <w:proofErr w:type="gramStart"/>
            <w:r w:rsidRPr="00AB6C59">
              <w:rPr>
                <w:rFonts w:ascii="Times New Roman" w:hAnsi="Times New Roman" w:cs="Times New Roman"/>
                <w:color w:val="392C69"/>
                <w:szCs w:val="22"/>
              </w:rPr>
              <w:t xml:space="preserve">(в ред. </w:t>
            </w:r>
            <w:hyperlink r:id="rId9">
              <w:r w:rsidRPr="00AB6C59">
                <w:rPr>
                  <w:rFonts w:ascii="Times New Roman" w:hAnsi="Times New Roman" w:cs="Times New Roman"/>
                  <w:color w:val="0000FF"/>
                  <w:szCs w:val="22"/>
                </w:rPr>
                <w:t>Решения</w:t>
              </w:r>
            </w:hyperlink>
            <w:r w:rsidRPr="00AB6C59">
              <w:rPr>
                <w:rFonts w:ascii="Times New Roman" w:hAnsi="Times New Roman" w:cs="Times New Roman"/>
                <w:color w:val="392C69"/>
                <w:szCs w:val="22"/>
              </w:rPr>
              <w:t xml:space="preserve"> Думы городского округа Тольятти Самарской области</w:t>
            </w:r>
            <w:proofErr w:type="gramEnd"/>
          </w:p>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color w:val="392C69"/>
                <w:szCs w:val="22"/>
              </w:rPr>
              <w:t>от 19.02.2025 N 455)</w:t>
            </w:r>
          </w:p>
        </w:tc>
        <w:tc>
          <w:tcPr>
            <w:tcW w:w="113" w:type="dxa"/>
            <w:tcBorders>
              <w:top w:val="nil"/>
              <w:left w:val="nil"/>
              <w:bottom w:val="nil"/>
              <w:right w:val="nil"/>
            </w:tcBorders>
            <w:shd w:val="clear" w:color="auto" w:fill="F4F3F8"/>
            <w:tcMar>
              <w:top w:w="0" w:type="dxa"/>
              <w:left w:w="0" w:type="dxa"/>
              <w:bottom w:w="0" w:type="dxa"/>
              <w:right w:w="0" w:type="dxa"/>
            </w:tcMar>
          </w:tcPr>
          <w:p w:rsidR="00AB6C59" w:rsidRPr="00AB6C59" w:rsidRDefault="00AB6C59">
            <w:pPr>
              <w:pStyle w:val="ConsPlusNormal"/>
              <w:rPr>
                <w:rFonts w:ascii="Times New Roman" w:hAnsi="Times New Roman" w:cs="Times New Roman"/>
                <w:szCs w:val="22"/>
              </w:rPr>
            </w:pPr>
          </w:p>
        </w:tc>
      </w:tr>
    </w:tbl>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1. Общие положения</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Совет некоммерческих организаций при Думе городского округа Тольятти (далее - Совет) является постоянно действующим коллегиальным консультативным и совещательным органом и создается на срок полномочий Думы городского округа Тольятти (далее - Дума) очередного созыва.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Совет осуществляет свою деятельность на общественных началах, не обладает правами юридического лица.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3. </w:t>
      </w:r>
      <w:proofErr w:type="gramStart"/>
      <w:r w:rsidRPr="00AB6C59">
        <w:rPr>
          <w:rFonts w:ascii="Times New Roman" w:hAnsi="Times New Roman" w:cs="Times New Roman"/>
          <w:szCs w:val="22"/>
        </w:rPr>
        <w:t xml:space="preserve">Совет руководствуется в своей деятельности </w:t>
      </w:r>
      <w:hyperlink r:id="rId10">
        <w:r w:rsidRPr="00AB6C59">
          <w:rPr>
            <w:rFonts w:ascii="Times New Roman" w:hAnsi="Times New Roman" w:cs="Times New Roman"/>
            <w:color w:val="0000FF"/>
            <w:szCs w:val="22"/>
          </w:rPr>
          <w:t>Конституцией</w:t>
        </w:r>
      </w:hyperlink>
      <w:r w:rsidRPr="00AB6C59">
        <w:rPr>
          <w:rFonts w:ascii="Times New Roman" w:hAnsi="Times New Roman" w:cs="Times New Roman"/>
          <w:szCs w:val="22"/>
        </w:rPr>
        <w:t xml:space="preserve"> Российской Федерации, Федеральным </w:t>
      </w:r>
      <w:hyperlink r:id="rId11">
        <w:r w:rsidRPr="00AB6C59">
          <w:rPr>
            <w:rFonts w:ascii="Times New Roman" w:hAnsi="Times New Roman" w:cs="Times New Roman"/>
            <w:color w:val="0000FF"/>
            <w:szCs w:val="22"/>
          </w:rPr>
          <w:t>законом</w:t>
        </w:r>
      </w:hyperlink>
      <w:r w:rsidRPr="00AB6C59">
        <w:rPr>
          <w:rFonts w:ascii="Times New Roman" w:hAnsi="Times New Roman" w:cs="Times New Roman"/>
          <w:szCs w:val="22"/>
        </w:rPr>
        <w:t xml:space="preserve"> от 19.05.1995 N 82-ФЗ "Об общественных объединениях", Федеральным </w:t>
      </w:r>
      <w:hyperlink r:id="rId12">
        <w:r w:rsidRPr="00AB6C59">
          <w:rPr>
            <w:rFonts w:ascii="Times New Roman" w:hAnsi="Times New Roman" w:cs="Times New Roman"/>
            <w:color w:val="0000FF"/>
            <w:szCs w:val="22"/>
          </w:rPr>
          <w:t>законом</w:t>
        </w:r>
      </w:hyperlink>
      <w:r w:rsidRPr="00AB6C59">
        <w:rPr>
          <w:rFonts w:ascii="Times New Roman" w:hAnsi="Times New Roman" w:cs="Times New Roman"/>
          <w:szCs w:val="22"/>
        </w:rPr>
        <w:t xml:space="preserve"> от 12.01.1996 N 7-ФЗ "О некоммерческих организациях", иными федеральными законами, нормативными правовыми актами Российской Федерации, законами и нормативными правовыми актами Самарской области, </w:t>
      </w:r>
      <w:hyperlink r:id="rId13">
        <w:r w:rsidRPr="00AB6C59">
          <w:rPr>
            <w:rFonts w:ascii="Times New Roman" w:hAnsi="Times New Roman" w:cs="Times New Roman"/>
            <w:color w:val="0000FF"/>
            <w:szCs w:val="22"/>
          </w:rPr>
          <w:t>Уставом</w:t>
        </w:r>
      </w:hyperlink>
      <w:r w:rsidRPr="00AB6C59">
        <w:rPr>
          <w:rFonts w:ascii="Times New Roman" w:hAnsi="Times New Roman" w:cs="Times New Roman"/>
          <w:szCs w:val="22"/>
        </w:rPr>
        <w:t xml:space="preserve"> городского округа Тольятти, муниципальными правовыми актами, а также настоящим Положением.</w:t>
      </w:r>
      <w:proofErr w:type="gramEnd"/>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Совет не обладает властными полномочиями по отношению к его членам.</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Порядок формирования и деятельность Совета основаны на принципах равноправия и добровольности его членов, законности, коллегиальности и гласности.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Решения Совета носят рекомендательный характер.</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2. Задачи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Основными задачами Совета являются: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повышение роли некоммерческих организаций в процессе выработки решений, принимаемых Думой;</w:t>
      </w:r>
    </w:p>
    <w:p w:rsidR="00AB6C59" w:rsidRPr="00AB6C59" w:rsidRDefault="00AB6C59">
      <w:pPr>
        <w:pStyle w:val="ConsPlusNormal"/>
        <w:spacing w:before="220"/>
        <w:ind w:firstLine="540"/>
        <w:jc w:val="both"/>
        <w:rPr>
          <w:rFonts w:ascii="Times New Roman" w:hAnsi="Times New Roman" w:cs="Times New Roman"/>
          <w:szCs w:val="22"/>
        </w:rPr>
      </w:pPr>
      <w:proofErr w:type="gramStart"/>
      <w:r w:rsidRPr="00AB6C59">
        <w:rPr>
          <w:rFonts w:ascii="Times New Roman" w:hAnsi="Times New Roman" w:cs="Times New Roman"/>
          <w:szCs w:val="22"/>
        </w:rPr>
        <w:t xml:space="preserve">2) представление интересов общественности городского округа при разработке и принятии нормативных правовых актов городского округа Тольятти и принятии решений по иным вопросам, отнесенным к компетенции Думы городского округа Тольятти федеральными законами, законами Самарской области, </w:t>
      </w:r>
      <w:hyperlink r:id="rId14">
        <w:r w:rsidRPr="00AB6C59">
          <w:rPr>
            <w:rFonts w:ascii="Times New Roman" w:hAnsi="Times New Roman" w:cs="Times New Roman"/>
            <w:color w:val="0000FF"/>
            <w:szCs w:val="22"/>
          </w:rPr>
          <w:t>Уставом</w:t>
        </w:r>
      </w:hyperlink>
      <w:r w:rsidRPr="00AB6C59">
        <w:rPr>
          <w:rFonts w:ascii="Times New Roman" w:hAnsi="Times New Roman" w:cs="Times New Roman"/>
          <w:szCs w:val="22"/>
        </w:rPr>
        <w:t xml:space="preserve"> городского округа Тольятти;</w:t>
      </w:r>
      <w:proofErr w:type="gramEnd"/>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представление интересов общественности городского округа при разработке и принятии нормативных правовых актов городского округа Тольятти;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4) участие в разработке и обсуждении проектов нормативных правовых актов Думы, проектов законов Самарской области, разрабатываемых для внесения в порядке законодательной инициативы в Самарскую Губернскую Думу, проектов федеральных законов и законов Самарской </w:t>
      </w:r>
      <w:r w:rsidRPr="00AB6C59">
        <w:rPr>
          <w:rFonts w:ascii="Times New Roman" w:hAnsi="Times New Roman" w:cs="Times New Roman"/>
          <w:szCs w:val="22"/>
        </w:rPr>
        <w:lastRenderedPageBreak/>
        <w:t>области, поступивших для рассмотрения и внесения предложений в Думу;</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участие некоммерческих организаций в формировании и реализации плана социально-экономического развития городского округа;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установление диалога между обществом и властью, повышение общественной активности горожан;</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7) изучение мнения общественности о наиболее важных проблемах городского округа и деятельности органов местного самоуправления;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8) участие в общественных обсуждениях, публичных слушаниях, собраниях, опросах граждан;</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9) участие в проведении конференций, круглых столов, депутатских слушаний;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10) участие в проведении общественной экспертизы проектов нормативных правовых актов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11) проведение общественного мониторинга реализации нормативных правовых актов Думы в целях определения эффективности их применения, выявления недостатков и выработки рекомендаций по их устранению;</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12) участие в подготовке ежегодного доклада "О состоянии дел по развитию некоммерческих организаций в городском округе Тольятти";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13) участие в реализации </w:t>
      </w:r>
      <w:hyperlink r:id="rId15">
        <w:r w:rsidRPr="00AB6C59">
          <w:rPr>
            <w:rFonts w:ascii="Times New Roman" w:hAnsi="Times New Roman" w:cs="Times New Roman"/>
            <w:color w:val="0000FF"/>
            <w:szCs w:val="22"/>
          </w:rPr>
          <w:t>Концепции</w:t>
        </w:r>
      </w:hyperlink>
      <w:r w:rsidRPr="00AB6C59">
        <w:rPr>
          <w:rFonts w:ascii="Times New Roman" w:hAnsi="Times New Roman" w:cs="Times New Roman"/>
          <w:szCs w:val="22"/>
        </w:rPr>
        <w:t xml:space="preserve"> развития некоммерческих организаций городского округа Тольятти, утвержденной решением Тольяттинской городской Думы от 10.05.2000 N 794;</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14) подготовка заключений Совета (комиссий Совета) на проекты муниципальных программ, мероприятий муниципальных программ на очередной год, планов мероприятий по реализации посланий Президента Российской Федерации и Губернатора Самарской области;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15) обсуждение иных вопросов, имеющих </w:t>
      </w:r>
      <w:proofErr w:type="gramStart"/>
      <w:r w:rsidRPr="00AB6C59">
        <w:rPr>
          <w:rFonts w:ascii="Times New Roman" w:hAnsi="Times New Roman" w:cs="Times New Roman"/>
          <w:szCs w:val="22"/>
        </w:rPr>
        <w:t>важное значение</w:t>
      </w:r>
      <w:proofErr w:type="gramEnd"/>
      <w:r w:rsidRPr="00AB6C59">
        <w:rPr>
          <w:rFonts w:ascii="Times New Roman" w:hAnsi="Times New Roman" w:cs="Times New Roman"/>
          <w:szCs w:val="22"/>
        </w:rPr>
        <w:t xml:space="preserve"> для развития городского округа Тольятти и требующих правового регулирования.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По решению президиума Совет может проводить иные мероприятия либо участвовать в проведении мероприятий, организуемых органами местного самоуправления городского округа Тольятти, некоммерческими организациями.</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3. Состав и структура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bookmarkStart w:id="2" w:name="P77"/>
      <w:bookmarkEnd w:id="2"/>
      <w:r w:rsidRPr="00AB6C59">
        <w:rPr>
          <w:rFonts w:ascii="Times New Roman" w:hAnsi="Times New Roman" w:cs="Times New Roman"/>
          <w:szCs w:val="22"/>
        </w:rPr>
        <w:t>1. В состав Совета на добровольной основе входят представители некоммерческих организаций (за исключением организаций, учредителями которых являются органы государственной власти и органы местного самоуправления), имеющих место нахождения руководящего органа в городском округе Тольятти в соответствии с уставом организации.</w:t>
      </w:r>
    </w:p>
    <w:p w:rsidR="00AB6C59" w:rsidRPr="00AB6C59" w:rsidRDefault="00AB6C59">
      <w:pPr>
        <w:pStyle w:val="ConsPlusNormal"/>
        <w:spacing w:before="220"/>
        <w:ind w:firstLine="540"/>
        <w:jc w:val="both"/>
        <w:rPr>
          <w:rFonts w:ascii="Times New Roman" w:hAnsi="Times New Roman" w:cs="Times New Roman"/>
          <w:szCs w:val="22"/>
        </w:rPr>
      </w:pPr>
      <w:bookmarkStart w:id="3" w:name="P78"/>
      <w:bookmarkEnd w:id="3"/>
      <w:r w:rsidRPr="00AB6C59">
        <w:rPr>
          <w:rFonts w:ascii="Times New Roman" w:hAnsi="Times New Roman" w:cs="Times New Roman"/>
          <w:szCs w:val="22"/>
        </w:rPr>
        <w:t>2. Сообщение о начале формирования Совета публикуется в средствах массовой информации городского округа не позднее 2 месяцев со дня начала работы Думы нового созыва.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Совет формируется на представительной основе в количестве не менее 20 и не более 35 человек.</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Для формирования Совета создается организационный комитет по формированию Совета некоммерческих организаций (далее - организационный комитет). Организационный комитет создается на срок действия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5. В состав организационного комитета входят депутаты Думы и сотрудники аппарата Думы в количестве не более 7 человек. Состав организационного комитета утверждается </w:t>
      </w:r>
      <w:r w:rsidRPr="00AB6C59">
        <w:rPr>
          <w:rFonts w:ascii="Times New Roman" w:hAnsi="Times New Roman" w:cs="Times New Roman"/>
          <w:szCs w:val="22"/>
        </w:rPr>
        <w:lastRenderedPageBreak/>
        <w:t>постановлением председателя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Организационный комитет осуществляет координацию по всем вопросам, связанным с формированием Совета, а именно:</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рассматривает заявки на включение представителей в члены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проводит отбор кандидатов в состав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организует первое заседание Совета нового созыва;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формирует резерв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7. При формировании состава Совета нового созыва организационный комитет формирует состав Совета в течение 30 дней со дня окончания приема заявок.</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8. Организации, указанные в </w:t>
      </w:r>
      <w:hyperlink w:anchor="P77">
        <w:r w:rsidRPr="00AB6C59">
          <w:rPr>
            <w:rFonts w:ascii="Times New Roman" w:hAnsi="Times New Roman" w:cs="Times New Roman"/>
            <w:color w:val="0000FF"/>
            <w:szCs w:val="22"/>
          </w:rPr>
          <w:t>пункте 1</w:t>
        </w:r>
      </w:hyperlink>
      <w:r w:rsidRPr="00AB6C59">
        <w:rPr>
          <w:rFonts w:ascii="Times New Roman" w:hAnsi="Times New Roman" w:cs="Times New Roman"/>
          <w:szCs w:val="22"/>
        </w:rPr>
        <w:t xml:space="preserve"> настоящего Положения, выдвигающие представителей в состав Совета, направляют письменные заявления на имя председателя Думы в течение 30 календарных дней со дня опубликования информации о формировании Совета по форме согласно приложению к настоящему Положению.</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9. Заявление подписывается руководителем организации. В заявлении указываются: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наименование организации и основные направления ее деятельности в соответствии с уставом;</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количество членов организации;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сведения о представителе (фамилия, имя, отчество, дата рождения, род занятий, контактный телефон и адрес электронной почты, краткая характеристика рекомендуемого).</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10. К заявлению прилагается конкурсная работа объемом не более четырех листов формата А</w:t>
      </w:r>
      <w:proofErr w:type="gramStart"/>
      <w:r w:rsidRPr="00AB6C59">
        <w:rPr>
          <w:rFonts w:ascii="Times New Roman" w:hAnsi="Times New Roman" w:cs="Times New Roman"/>
          <w:szCs w:val="22"/>
        </w:rPr>
        <w:t>4</w:t>
      </w:r>
      <w:proofErr w:type="gramEnd"/>
      <w:r w:rsidRPr="00AB6C59">
        <w:rPr>
          <w:rFonts w:ascii="Times New Roman" w:hAnsi="Times New Roman" w:cs="Times New Roman"/>
          <w:szCs w:val="22"/>
        </w:rPr>
        <w:t xml:space="preserve"> (кегль 12, интервал 1 - 1,5), содержащая описание и предложения по решению реально существующих проблем городского округа в соответствии с задачами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11. Конкурсная работа должна включать в себя следующие разделы: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формулировка проблемы и обоснование ее актуальности для городского округа Тольятти;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краткая характеристика целевой группы населения городского округа Тольятти, для которой актуальна описанная проблема;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механизм решения проблемы с учетом возможностей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планируемый результат и критерии оценки его достижения.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12. Отбор кандидатов в состав Совета проводится в течение двух недель со дня прекращения приема заявок в два этапа: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рассмотрение оргкомитетом заявок и конкурсных работ, при этом каждый член оргкомитета оценивает их по пятибалльной шкале. Прошедшими первый этап отбора считаются заявки, получившие средний балл рейтинга не ниже 4;</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собеседование с кандидатами в члены Совета, прошедшими отбор по результатам рассмотрения конкурсных работ.</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13. По итогам собеседования организационный комитет формирует предложение по персональному составу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14. В случае если количество кандидатов, допущенных к собеседованию, превышает </w:t>
      </w:r>
      <w:r w:rsidRPr="00AB6C59">
        <w:rPr>
          <w:rFonts w:ascii="Times New Roman" w:hAnsi="Times New Roman" w:cs="Times New Roman"/>
          <w:szCs w:val="22"/>
        </w:rPr>
        <w:lastRenderedPageBreak/>
        <w:t>максимально возможное количество членов Совета, организационный комитет может принять решение о включении кандидатов, не вошедших в персональный состав Совета, в резерв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15. Персональный состав Совета и резерва Совета утверждаются постановлением председателя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16. Организации, имеющие представителей в Совете, вправе производить замену своих представителей в Совете путем подачи заявки в организационный комитет.</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17. При снижении численности Совета ниже 30 человек президиум Совета может рекомендовать председателю Думы включить в состав Совета кандидатов из состава резерва Совета. Председатель Думы принимает решение о внесении (невнесении) изменений в персональный состав Совета и резерв Совета с учетом указанных рекомендаций.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18. При снижении числа членов Совета ниже 20 человек по предложению президиума Совета объявляются дополнительные выборы в состав Совета. Информация о дополнительных выборах размещается на официальном сайте Думы. Прием заявок осуществляется организационным комитетом в течение 14 календарных дней со дня размещения на сайте Думы сообщения о дополнительных выборах в состав Совета. Отбор кандидатов в состав Совета проводится в течение двух недель со дня прекращения приема заявок.</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19. Председателем Совета является председатель Думы. Председатель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вносит предложения по проектам повесток заседаний Совета 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формирует повестки заседаний Совета 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ведет заседания Совета 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подписывает решения и протоколы заседаний Совета 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предлагает на утверждение Совета кандидатуру заместителя председателя Совета - представителя от некоммерческих организаций;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вправе предлагать на утверждение комиссий Совета кандидатуры председателей и заместителей председателей комиссий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7) направляет решения комиссий и рабочих групп Совета на рассмотрение Думы, постоянных комиссий Думы, иных органов и организаций;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8) представляет Совет в отношениях с населением, общественными объединениями, органами государственной власти и органами местного самоуправления, а также иными организациями;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9) осуществляет иные полномочия, вытекающие из задач Совета и не отнесенные к полномочиям иных органов и членов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20. Заместителями председателя Совета являются: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координатор от Думы по взаимодействию с некоммерческими организациями, назначаемый решением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представитель от некоммерческих организаций, утверждаемый решением Совета по предложению председателя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21. Заместители председателя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осуществляют организацию работы Совета в соответствии с поручениями председателя Совета, решениями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lastRenderedPageBreak/>
        <w:t>2) вносят предложения по проектам повесток заседаний Совета 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выполняют отдельные поручения председателя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в отсутствие председателя Совета или по его поручению исполняют его обязанности.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22. Члены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участвуют в заседаниях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участвуют в заседаниях комиссий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участвуют в подготовке материалов к заседаниям Совета, а также проектов решений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представляют Совет в отношениях с иными органами, организациями и лицами в случае принятия соответствующего решения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22.1. Член Совета имеет удостоверение члена Совета, которое является документом, подтверждающим его полномочия. Член Совета пользуется удостоверением в течение срока своих полномочий.</w:t>
      </w:r>
    </w:p>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w:t>
      </w:r>
      <w:proofErr w:type="gramStart"/>
      <w:r w:rsidRPr="00AB6C59">
        <w:rPr>
          <w:rFonts w:ascii="Times New Roman" w:hAnsi="Times New Roman" w:cs="Times New Roman"/>
          <w:szCs w:val="22"/>
        </w:rPr>
        <w:t>ч</w:t>
      </w:r>
      <w:proofErr w:type="gramEnd"/>
      <w:r w:rsidRPr="00AB6C59">
        <w:rPr>
          <w:rFonts w:ascii="Times New Roman" w:hAnsi="Times New Roman" w:cs="Times New Roman"/>
          <w:szCs w:val="22"/>
        </w:rPr>
        <w:t xml:space="preserve">асть 22.1 введена </w:t>
      </w:r>
      <w:hyperlink r:id="rId16">
        <w:r w:rsidRPr="00AB6C59">
          <w:rPr>
            <w:rFonts w:ascii="Times New Roman" w:hAnsi="Times New Roman" w:cs="Times New Roman"/>
            <w:color w:val="0000FF"/>
            <w:szCs w:val="22"/>
          </w:rPr>
          <w:t>Решением</w:t>
        </w:r>
      </w:hyperlink>
      <w:r w:rsidRPr="00AB6C59">
        <w:rPr>
          <w:rFonts w:ascii="Times New Roman" w:hAnsi="Times New Roman" w:cs="Times New Roman"/>
          <w:szCs w:val="22"/>
        </w:rPr>
        <w:t xml:space="preserve"> Думы городского округа Тольятти Самарской области от 19.02.2025 N 455)</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23. Структура Совета включает в себя президиум Совета и комиссии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4. Президиум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Президиум Совета является органом, организующим и координирующим деятельность Совета, контролирующим исполнение принятых им решений.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В состав президиума Совета входят:</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председатель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заместители председателя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председатели комиссий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Президиум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формирует на основе планов работы Думы и предложений комиссий Совета план работы Совета, утверждает его;</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утверждает персональный состав Совета и вносит в него изменения;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утверждает состав комиссий Совета и вносит изменения в состав комиссий;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определяет дату и место проведения заседаний Совета, формирует их повестку и пакет материалов, вносимых на рассмотрение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организует исполнение решений, принятых Советом;</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анализирует и обобщает ход исполнения решений, принятых Советом;</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7) координирует деятельность комиссий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8) по предложению комиссий Совета создает рабочие группы;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9) подготавливает ежегодный отчет о деятельности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lastRenderedPageBreak/>
        <w:t>10) рассматривает вопросы, внесенные председателем Совета, заместителями председателя Совета, членами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11) осуществляет мероприятия по организации деятельности Совета в соответствии с настоящим Положением и решениями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12) принимает решения об исключении членов Совета в случае нарушения ими требований настоящего Положения;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13) утверждает образец и описание удостоверения члена Совета.</w:t>
      </w:r>
    </w:p>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 xml:space="preserve">(п. 13 введен </w:t>
      </w:r>
      <w:hyperlink r:id="rId17">
        <w:r w:rsidRPr="00AB6C59">
          <w:rPr>
            <w:rFonts w:ascii="Times New Roman" w:hAnsi="Times New Roman" w:cs="Times New Roman"/>
            <w:color w:val="0000FF"/>
            <w:szCs w:val="22"/>
          </w:rPr>
          <w:t>Решением</w:t>
        </w:r>
      </w:hyperlink>
      <w:r w:rsidRPr="00AB6C59">
        <w:rPr>
          <w:rFonts w:ascii="Times New Roman" w:hAnsi="Times New Roman" w:cs="Times New Roman"/>
          <w:szCs w:val="22"/>
        </w:rPr>
        <w:t xml:space="preserve"> Думы городского округа Тольятти Самарской области от 19.02.2025 N 455)</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Заседания президиума Совета проводятся по мере необходимости, но не реже одного раза в квартал.</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Заседание президиума Совета правомочно, если на нем присутствует более половины его членов.</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Председательствует на заседании президиума Совета председатель Совета либо по его поручению один из его заместителей.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7. Материалы по вопросам, вносимым на рассмотрение президиума Совета, представляются членам президиума Совета в электронном виде не </w:t>
      </w:r>
      <w:proofErr w:type="gramStart"/>
      <w:r w:rsidRPr="00AB6C59">
        <w:rPr>
          <w:rFonts w:ascii="Times New Roman" w:hAnsi="Times New Roman" w:cs="Times New Roman"/>
          <w:szCs w:val="22"/>
        </w:rPr>
        <w:t>позднее</w:t>
      </w:r>
      <w:proofErr w:type="gramEnd"/>
      <w:r w:rsidRPr="00AB6C59">
        <w:rPr>
          <w:rFonts w:ascii="Times New Roman" w:hAnsi="Times New Roman" w:cs="Times New Roman"/>
          <w:szCs w:val="22"/>
        </w:rPr>
        <w:t xml:space="preserve"> чем за 5 рабочих дней до его заседания. По решению президиума Совета материалы могут быть предоставлены на бумажных носителях.</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8. Члены Совета, не являющиеся членами президиума Совета, могут участвовать в заседании президиума Совета с правом совещательного голоса по приглашению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9. На каждом заседании президиума Совета ведется протокол.</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10. По итогам обсуждения вопросов на заседании президиума Совета принимаются решения. Решения президиума Совета принимаются большинством голосов от числа присутствующих на заседании членов президиума Совета. При равенстве голосов голос председательствующего на заседании президиума Совета является решающим.</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5. Комиссии и рабочие группы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Комиссии Совета создаются для предварительного рассмотрения вопросов в рамках реализации основных задач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Количество, наименование и вопросы ведения комиссий Совета утверждаются на первом заседании Совета. В количество, наименование и вопросы ведения комиссий Совета могут быть внесены изменения по предложению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Каждый член Совета входит в одну из комиссий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Присутствие членов комиссии на заседаниях комиссии является обязательным. О невозможности своего присутствия на заседании член комиссии обязан не позднее одного рабочего дня до заседания комиссии письменно уведомить председателя комиссии. При неявке члена комиссии на заседания комиссии без предварительного уведомления более двух раз подряд комиссия вправе предложить президиуму Совета исключить члена комиссии из ее состава и рассмотреть вопрос о членстве в Совете.</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Члены комиссий Совета избирают из своего состава председателей и заместителей председателей комиссий Совета. Кандидатуры председателей и заместителей председателей комиссий Совета предлагаются членами комиссии и утверждаются на заседании комиссии открытым голосованием большинством голосов от списочного состава комиссии. Председатель Совета вправе предложить кандидатуры председателя и заместителей председателя комиссии.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lastRenderedPageBreak/>
        <w:t>6. Председатель комиссии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формирует на основе планов работы Совета, планов работы Думы, предложений постоянных комиссий Думы и предложений членов комиссии и утверждает повестки заседаний комиссии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организует и ведет заседание комиссии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подписывает протокол заседания и решения комиссии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7. Заместитель председателя комиссии Совета исполняет функции председателя комиссии Совета в случае отсутствия председателя комиссии Совета или по его поручению.</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8. Комиссии Совета организуют свою работу на основании плана работы Совета и с учетом планов работы постоянных комиссий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9. Заседания комиссий Совета проводятся по мере необходимости, но не реже одного раза в квартал.</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10. Заседание комиссии Совета правомочно, если на нем присутствует более половины ее членов. В ином случае для обсуждения вопросов повестки дня комиссия вправе проводить рабочее совещание без принятия решения по существу вопроса.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11. Члены Совета, не входящие в состав комиссии Совета, вправе присутствовать на ее заседании с правом совещательного голоса.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12. По итогам обсуждения вопросов на заседании комиссии Совета принимаются решения. Решения комиссии Совета принимаются большинством голосов от числа присутствующих на заседании членов комиссии Совета. При равенстве голосов, поданных в поддержку ("за") и не в поддержку ("против", "воздержался"), голос председателя комиссии Совета является решающим. Решения комиссий направляются председателем Совета (по его поручению заместителем председателя - координатором от Думы по взаимодействию с некоммерческими организациями) в Думу, постоянные комиссии Думы, иные органы и организации для рассмотрения.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13. К участию в заседаниях комиссий Совета при рассмотрении ими вопросов, внесенных на рассмотрение Думы, приглашаются депутаты - члены постоянных комиссий Думы, специалисты Думы (при необходимости).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14. Для рассмотрения отдельных вопросов по предложению комиссий решением президиума Совета создаются рабочие группы.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15. В предложении комиссии Совета о создании рабочей группы указываются следующие сведения: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перечень вопросов, для решения которых предлагается создать рабочую группу;</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обоснование актуальности создания рабочей группы;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пояснения о соответствии основным задачам Совета вопросов, для решения которых предлагается создать рабочую группу;</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предлагаемый состав рабочей группы с указанием фамилии, имени, отчества и занимаемой должности ее членов;</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сведения о согласии на включение в состав рабочей группы лиц, не являющихся членами Совета, подтвержденные личными заявлениями;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предложения по кандидатуре руководителя рабочей группы.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16. В состав рабочих групп с учетом специфики рассматриваемых вопросов включаются </w:t>
      </w:r>
      <w:r w:rsidRPr="00AB6C59">
        <w:rPr>
          <w:rFonts w:ascii="Times New Roman" w:hAnsi="Times New Roman" w:cs="Times New Roman"/>
          <w:szCs w:val="22"/>
        </w:rPr>
        <w:lastRenderedPageBreak/>
        <w:t>члены Совета, специалисты, эксперты и другие граждане, проживающие как на территории городского округа, так и за его пределами. Участие в работе рабочих групп осуществляется на безвозмездной основе. Количество членов рабочей группы, не являющихся членами Совета, должно составлять не более половины от общего состава рабочей группы.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17. План работы рабочей группы формируется руководителем рабочей группы в соответствии с основными задачами Совета и вносится на утверждение президиума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18. Рекомендации рабочей группы вносятся на рассмотрение соответствующей комиссии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19. Представители органов местного самоуправления, органов государственной власти, коммерческих и некоммерческих организаций приглашаются на заседания комиссий и рабочих групп по согласованию с координатором от Думы по взаимодействию с некоммерческими организациями.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20. Для подготовки вопросов, вносимых на рассмотрение комиссий и рабочих групп Совета, могут проводиться рабочие совещания. При необходимости могут оформляться протоколы рабочих совещаний.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21. Ведение протоколов заседаний комиссий (рабочих групп) и оформление решений комиссий (рабочих групп) осуществляется сотрудником аппарата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22. Протоколы, решения и при необходимости информационно-аналитические материалы комиссий Совета хранятся в Думе в течение срока полномочий Думы соответствующего созыва.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6. Порядок проведения заседаний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Основной формой работы Совета являются заседания Совета, на которых обсуждаются вопросы, вносимые президиумом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Заседания Совета проводятся не реже 2 (двух) раз в год.</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Решения Совета принимаются открытым голосованием большинством голосов от числа присутствующих на заседании членов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4. Присутствие членов Совета на заседаниях Совета является обязательным. О невозможности своего присутствия на заседании член Совета обязан не </w:t>
      </w:r>
      <w:proofErr w:type="gramStart"/>
      <w:r w:rsidRPr="00AB6C59">
        <w:rPr>
          <w:rFonts w:ascii="Times New Roman" w:hAnsi="Times New Roman" w:cs="Times New Roman"/>
          <w:szCs w:val="22"/>
        </w:rPr>
        <w:t>позднее</w:t>
      </w:r>
      <w:proofErr w:type="gramEnd"/>
      <w:r w:rsidRPr="00AB6C59">
        <w:rPr>
          <w:rFonts w:ascii="Times New Roman" w:hAnsi="Times New Roman" w:cs="Times New Roman"/>
          <w:szCs w:val="22"/>
        </w:rPr>
        <w:t xml:space="preserve"> чем за 2 рабочих дня до назначенной даты заседания в письменной форме уведомить председателя Совета. В случае неявки члена Совета на заседания Совета без письменного уведомления более двух раз подряд членство организации в Совете прекращается, о чем в 15-дневный срок уведомляется организация, направившая представителя.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Заседание Совета правомочно, если на нем присутствует не менее половины членов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Если на заседании Совета присутствует менее половины от общего числа членов Совета, председатель Совета созывает повторное заседание Совета с тем же проектом повестки заседания Совета. Время проведения повторного заседания Совета должно быть определено с учетом времени, необходимого для прибытия членов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7. По инициативе председателя Совета, президиума Совета или не менее 1/3 от общего числа членов Совета могут проводиться внеочередные заседания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8. Материалы, подлежащие рассмотрению на заседании Совета, готовят соответствующие комиссии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9. Материалы по вопросам, вносимым на рассмотрение Совета, направляются членам Совета в электронном виде не </w:t>
      </w:r>
      <w:proofErr w:type="gramStart"/>
      <w:r w:rsidRPr="00AB6C59">
        <w:rPr>
          <w:rFonts w:ascii="Times New Roman" w:hAnsi="Times New Roman" w:cs="Times New Roman"/>
          <w:szCs w:val="22"/>
        </w:rPr>
        <w:t>позднее</w:t>
      </w:r>
      <w:proofErr w:type="gramEnd"/>
      <w:r w:rsidRPr="00AB6C59">
        <w:rPr>
          <w:rFonts w:ascii="Times New Roman" w:hAnsi="Times New Roman" w:cs="Times New Roman"/>
          <w:szCs w:val="22"/>
        </w:rPr>
        <w:t xml:space="preserve"> чем за 5 рабочих дней до назначенной даты заседания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lastRenderedPageBreak/>
        <w:t>10. Заседание Совета ведет председатель Совета либо его заместитель, а в их отсутствие по решению президиума Совета один из членов президиума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7. Порядок голосования и принятия решений на заседании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Решения Совета принимаются открытым голосованием большинством голосов от числа присутствующих на заседании членов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После объявления председательствующим на заседании Совета о начале голосования никто не вправе прервать голосование.</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Результаты голосования по всем вопросам, выносимым на заседание Совета, включаются в протокол заседания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8. Протокол и решения Совета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На каждом заседании Совета ведется протокол.</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В протоколе заседания Совета указываются: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полное наименование Совета, порядковый номер заседания Совета, дата и место проведения заседания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число и данные о присутствующих и отсутствующих членах Совета, сведения о приглашенных;</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повестка заседания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фамилия, имя, отчество докладчика;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фамилии, имена, отчества, должности лиц, выступивших в прениях, внесших предложения или задавших вопрос докладчикам;</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перечень всех принятых решений Совета с указанием числа голосов, поданных "за", "против" и "воздержался".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Протокол заседания Совета оформляется в течение 10 рабочих дней сотрудником аппарата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Протокол подписывается председательствующим на заседании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5. Решения Совета носят рекомендательный характер.</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6. Решения Совета в течение 10 дней со дня их принятия направляются в Думу, постоянные комиссии Думы, а при необходимости - в иные органы и организации для рассмотрения и учета в работе, размещаются на сайте Думы в информационно-телекоммуникационной сети Интернет.</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9. Общественная экспертиза. Общественный мониторинг</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Для проведения общественной экспертизы и общественного мониторинга могут быть созданы рабочие группы.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По результатам проведения общественной экспертизы готовится заключение, содержащее сведения: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1) о разработчиках заключения;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о выявленных положениях нормативных правовых актов и проектов нормативных правовых актов, противоречащих правам и законным интересам личности и общества;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lastRenderedPageBreak/>
        <w:t>3) о рекомендациях по устранению выявленных недостатков и негативных последствий;</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иные необходимые сведения.</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Организаторами общественного мониторинга могут быть некоммерческие организации - члены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4. По результатам проведения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Title"/>
        <w:ind w:firstLine="540"/>
        <w:jc w:val="both"/>
        <w:outlineLvl w:val="1"/>
        <w:rPr>
          <w:rFonts w:ascii="Times New Roman" w:hAnsi="Times New Roman" w:cs="Times New Roman"/>
          <w:szCs w:val="22"/>
        </w:rPr>
      </w:pPr>
      <w:r w:rsidRPr="00AB6C59">
        <w:rPr>
          <w:rFonts w:ascii="Times New Roman" w:hAnsi="Times New Roman" w:cs="Times New Roman"/>
          <w:szCs w:val="22"/>
        </w:rPr>
        <w:t>Статья 10. Заключительные положения</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ind w:firstLine="540"/>
        <w:jc w:val="both"/>
        <w:rPr>
          <w:rFonts w:ascii="Times New Roman" w:hAnsi="Times New Roman" w:cs="Times New Roman"/>
          <w:szCs w:val="22"/>
        </w:rPr>
      </w:pPr>
      <w:r w:rsidRPr="00AB6C59">
        <w:rPr>
          <w:rFonts w:ascii="Times New Roman" w:hAnsi="Times New Roman" w:cs="Times New Roman"/>
          <w:szCs w:val="22"/>
        </w:rPr>
        <w:t>1. Деятельность Совета освещается в средствах массовой информации.</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2. Информационное, организационное, материально-техническое обеспечение деятельности Совета осуществляет аппарат Думы.</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3. Рассмотрение иных вопросов деятельности Совета, не предусмотренных настоящим Положением, осуществляется в порядке, установленном президиумом Совета.</w:t>
      </w:r>
    </w:p>
    <w:p w:rsidR="00AB6C59" w:rsidRPr="00AB6C59" w:rsidRDefault="00AB6C59">
      <w:pPr>
        <w:pStyle w:val="ConsPlusNormal"/>
        <w:spacing w:before="220"/>
        <w:ind w:firstLine="540"/>
        <w:jc w:val="both"/>
        <w:rPr>
          <w:rFonts w:ascii="Times New Roman" w:hAnsi="Times New Roman" w:cs="Times New Roman"/>
          <w:szCs w:val="22"/>
        </w:rPr>
      </w:pPr>
      <w:r w:rsidRPr="00AB6C59">
        <w:rPr>
          <w:rFonts w:ascii="Times New Roman" w:hAnsi="Times New Roman" w:cs="Times New Roman"/>
          <w:szCs w:val="22"/>
        </w:rPr>
        <w:t xml:space="preserve">4. Настоящее Решение вступает в силу </w:t>
      </w:r>
      <w:proofErr w:type="gramStart"/>
      <w:r w:rsidRPr="00AB6C59">
        <w:rPr>
          <w:rFonts w:ascii="Times New Roman" w:hAnsi="Times New Roman" w:cs="Times New Roman"/>
          <w:szCs w:val="22"/>
        </w:rPr>
        <w:t>с даты</w:t>
      </w:r>
      <w:proofErr w:type="gramEnd"/>
      <w:r w:rsidRPr="00AB6C59">
        <w:rPr>
          <w:rFonts w:ascii="Times New Roman" w:hAnsi="Times New Roman" w:cs="Times New Roman"/>
          <w:szCs w:val="22"/>
        </w:rPr>
        <w:t xml:space="preserve"> его опубликования, за исключением </w:t>
      </w:r>
      <w:hyperlink w:anchor="P78">
        <w:r w:rsidRPr="00AB6C59">
          <w:rPr>
            <w:rFonts w:ascii="Times New Roman" w:hAnsi="Times New Roman" w:cs="Times New Roman"/>
            <w:color w:val="0000FF"/>
            <w:szCs w:val="22"/>
          </w:rPr>
          <w:t>пункта 2 статьи 3</w:t>
        </w:r>
      </w:hyperlink>
      <w:r w:rsidRPr="00AB6C59">
        <w:rPr>
          <w:rFonts w:ascii="Times New Roman" w:hAnsi="Times New Roman" w:cs="Times New Roman"/>
          <w:szCs w:val="22"/>
        </w:rPr>
        <w:t xml:space="preserve">. </w:t>
      </w:r>
      <w:hyperlink w:anchor="P78">
        <w:r w:rsidRPr="00AB6C59">
          <w:rPr>
            <w:rFonts w:ascii="Times New Roman" w:hAnsi="Times New Roman" w:cs="Times New Roman"/>
            <w:color w:val="0000FF"/>
            <w:szCs w:val="22"/>
          </w:rPr>
          <w:t>Пункт 2 статьи 3</w:t>
        </w:r>
      </w:hyperlink>
      <w:r w:rsidRPr="00AB6C59">
        <w:rPr>
          <w:rFonts w:ascii="Times New Roman" w:hAnsi="Times New Roman" w:cs="Times New Roman"/>
          <w:szCs w:val="22"/>
        </w:rPr>
        <w:t xml:space="preserve"> вступает в силу с даты начала работы Думы VIII созыва.</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right"/>
        <w:outlineLvl w:val="1"/>
        <w:rPr>
          <w:rFonts w:ascii="Times New Roman" w:hAnsi="Times New Roman" w:cs="Times New Roman"/>
          <w:szCs w:val="22"/>
        </w:rPr>
      </w:pPr>
      <w:r w:rsidRPr="00AB6C59">
        <w:rPr>
          <w:rFonts w:ascii="Times New Roman" w:hAnsi="Times New Roman" w:cs="Times New Roman"/>
          <w:szCs w:val="22"/>
        </w:rPr>
        <w:t>Приложение</w:t>
      </w: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к Положению</w:t>
      </w: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о Совете некоммерческих организаций</w:t>
      </w:r>
    </w:p>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при Думе городского округа Тольятти</w:t>
      </w: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rPr>
          <w:rFonts w:ascii="Times New Roman" w:hAnsi="Times New Roman" w:cs="Times New Roman"/>
          <w:szCs w:val="22"/>
        </w:rPr>
        <w:sectPr w:rsidR="00AB6C59" w:rsidRPr="00AB6C59" w:rsidSect="00131540">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18"/>
        <w:gridCol w:w="2553"/>
        <w:gridCol w:w="507"/>
        <w:gridCol w:w="521"/>
        <w:gridCol w:w="216"/>
        <w:gridCol w:w="297"/>
        <w:gridCol w:w="1094"/>
        <w:gridCol w:w="636"/>
        <w:gridCol w:w="1283"/>
        <w:gridCol w:w="340"/>
        <w:gridCol w:w="1676"/>
        <w:gridCol w:w="1040"/>
        <w:gridCol w:w="227"/>
        <w:gridCol w:w="1191"/>
      </w:tblGrid>
      <w:tr w:rsidR="00AB6C59" w:rsidRPr="00AB6C59">
        <w:tc>
          <w:tcPr>
            <w:tcW w:w="5499"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8000" w:type="dxa"/>
            <w:gridSpan w:val="10"/>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Председателю Думы городского округа Тольятти</w:t>
            </w:r>
          </w:p>
        </w:tc>
      </w:tr>
      <w:tr w:rsidR="00AB6C59" w:rsidRPr="00AB6C59">
        <w:tc>
          <w:tcPr>
            <w:tcW w:w="5499"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8000" w:type="dxa"/>
            <w:gridSpan w:val="10"/>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5499"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8000" w:type="dxa"/>
            <w:gridSpan w:val="10"/>
            <w:tcBorders>
              <w:top w:val="single" w:sz="4" w:space="0" w:color="auto"/>
              <w:left w:val="nil"/>
              <w:bottom w:val="nil"/>
              <w:right w:val="nil"/>
            </w:tcBorders>
          </w:tcPr>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(Ф.И.О.)</w:t>
            </w:r>
          </w:p>
        </w:tc>
      </w:tr>
      <w:tr w:rsidR="00AB6C59" w:rsidRPr="00AB6C59">
        <w:tc>
          <w:tcPr>
            <w:tcW w:w="5499"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513" w:type="dxa"/>
            <w:gridSpan w:val="2"/>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от</w:t>
            </w:r>
          </w:p>
        </w:tc>
        <w:tc>
          <w:tcPr>
            <w:tcW w:w="7487" w:type="dxa"/>
            <w:gridSpan w:val="8"/>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5499"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8000" w:type="dxa"/>
            <w:gridSpan w:val="10"/>
            <w:tcBorders>
              <w:top w:val="nil"/>
              <w:left w:val="nil"/>
              <w:bottom w:val="nil"/>
              <w:right w:val="nil"/>
            </w:tcBorders>
          </w:tcPr>
          <w:p w:rsidR="00AB6C59" w:rsidRPr="00AB6C59" w:rsidRDefault="00AB6C59">
            <w:pPr>
              <w:pStyle w:val="ConsPlusNormal"/>
              <w:jc w:val="right"/>
              <w:rPr>
                <w:rFonts w:ascii="Times New Roman" w:hAnsi="Times New Roman" w:cs="Times New Roman"/>
                <w:szCs w:val="22"/>
              </w:rPr>
            </w:pPr>
            <w:r w:rsidRPr="00AB6C59">
              <w:rPr>
                <w:rFonts w:ascii="Times New Roman" w:hAnsi="Times New Roman" w:cs="Times New Roman"/>
                <w:szCs w:val="22"/>
              </w:rPr>
              <w:t>(наименование некоммерческой организации)</w:t>
            </w:r>
          </w:p>
        </w:tc>
      </w:tr>
      <w:tr w:rsidR="00AB6C59" w:rsidRPr="00AB6C59">
        <w:tc>
          <w:tcPr>
            <w:tcW w:w="13499" w:type="dxa"/>
            <w:gridSpan w:val="1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nil"/>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ЗАЯВЛЕНИЕ О НАПРАВЛЕНИИ ПРЕДСТАВИТЕЛЯ НЕКОММЕРЧЕСКОЙ ОРГАНИЗАЦИИ В СОВЕТ НЕКОММЕРЧЕСКИХ ОРГАНИЗАЦИЙ ПРИ ДУМЕ ГОРОДСКОГО ОКРУГА ТОЛЬЯТТИ</w:t>
            </w:r>
          </w:p>
        </w:tc>
      </w:tr>
      <w:tr w:rsidR="00AB6C59" w:rsidRPr="00AB6C59">
        <w:tc>
          <w:tcPr>
            <w:tcW w:w="13499" w:type="dxa"/>
            <w:gridSpan w:val="1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7742" w:type="dxa"/>
            <w:gridSpan w:val="8"/>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Настоящим направляем представителя некоммерческой организации</w:t>
            </w:r>
          </w:p>
        </w:tc>
        <w:tc>
          <w:tcPr>
            <w:tcW w:w="3299" w:type="dxa"/>
            <w:gridSpan w:val="3"/>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2458" w:type="dxa"/>
            <w:gridSpan w:val="3"/>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(далее - Организация)</w:t>
            </w:r>
          </w:p>
        </w:tc>
      </w:tr>
      <w:tr w:rsidR="00AB6C59" w:rsidRPr="00AB6C59">
        <w:tc>
          <w:tcPr>
            <w:tcW w:w="6012" w:type="dxa"/>
            <w:gridSpan w:val="6"/>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6069" w:type="dxa"/>
            <w:gridSpan w:val="6"/>
            <w:tcBorders>
              <w:top w:val="nil"/>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(наименование некоммерческой организации)</w:t>
            </w:r>
          </w:p>
        </w:tc>
        <w:tc>
          <w:tcPr>
            <w:tcW w:w="1418" w:type="dxa"/>
            <w:gridSpan w:val="2"/>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single" w:sz="4" w:space="0" w:color="auto"/>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(Ф.И.О. представителя полностью, должность в организации)</w:t>
            </w:r>
          </w:p>
        </w:tc>
      </w:tr>
      <w:tr w:rsidR="00AB6C59" w:rsidRPr="00AB6C59">
        <w:tc>
          <w:tcPr>
            <w:tcW w:w="13499" w:type="dxa"/>
            <w:gridSpan w:val="14"/>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в состав Совета некоммерческих организаций при Думе городского округа Тольятти.</w:t>
            </w:r>
          </w:p>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Сообщаем, что в соответствии с уставом Организации:</w:t>
            </w:r>
          </w:p>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 учредителе</w:t>
            </w:r>
            <w:proofErr w:type="gramStart"/>
            <w:r w:rsidRPr="00AB6C59">
              <w:rPr>
                <w:rFonts w:ascii="Times New Roman" w:hAnsi="Times New Roman" w:cs="Times New Roman"/>
                <w:szCs w:val="22"/>
              </w:rPr>
              <w:t>м(</w:t>
            </w:r>
            <w:proofErr w:type="gramEnd"/>
            <w:r w:rsidRPr="00AB6C59">
              <w:rPr>
                <w:rFonts w:ascii="Times New Roman" w:hAnsi="Times New Roman" w:cs="Times New Roman"/>
                <w:szCs w:val="22"/>
              </w:rPr>
              <w:t>-</w:t>
            </w:r>
            <w:proofErr w:type="spellStart"/>
            <w:r w:rsidRPr="00AB6C59">
              <w:rPr>
                <w:rFonts w:ascii="Times New Roman" w:hAnsi="Times New Roman" w:cs="Times New Roman"/>
                <w:szCs w:val="22"/>
              </w:rPr>
              <w:t>ями</w:t>
            </w:r>
            <w:proofErr w:type="spellEnd"/>
            <w:r w:rsidRPr="00AB6C59">
              <w:rPr>
                <w:rFonts w:ascii="Times New Roman" w:hAnsi="Times New Roman" w:cs="Times New Roman"/>
                <w:szCs w:val="22"/>
              </w:rPr>
              <w:t>) Организации не являются органы государственной власти и органы местного самоуправления,</w:t>
            </w:r>
          </w:p>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 место нахождения руководящего органа Организации:</w:t>
            </w:r>
          </w:p>
        </w:tc>
      </w:tr>
      <w:tr w:rsidR="00AB6C59" w:rsidRPr="00AB6C59">
        <w:tc>
          <w:tcPr>
            <w:tcW w:w="13499" w:type="dxa"/>
            <w:gridSpan w:val="14"/>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single" w:sz="4" w:space="0" w:color="auto"/>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(область, город, улица, дом)</w:t>
            </w:r>
          </w:p>
        </w:tc>
      </w:tr>
      <w:tr w:rsidR="00AB6C59" w:rsidRPr="00AB6C59">
        <w:tc>
          <w:tcPr>
            <w:tcW w:w="1918" w:type="dxa"/>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Иные сведения</w:t>
            </w:r>
          </w:p>
        </w:tc>
        <w:tc>
          <w:tcPr>
            <w:tcW w:w="11581" w:type="dxa"/>
            <w:gridSpan w:val="13"/>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single" w:sz="4" w:space="0" w:color="auto"/>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Обязуемся соблюдать Положение о Совете некоммерческих организаций при Думе городского округа Тольятти.</w:t>
            </w:r>
          </w:p>
        </w:tc>
      </w:tr>
      <w:tr w:rsidR="00AB6C59" w:rsidRPr="00AB6C59">
        <w:tc>
          <w:tcPr>
            <w:tcW w:w="5715" w:type="dxa"/>
            <w:gridSpan w:val="5"/>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lastRenderedPageBreak/>
              <w:t>Номер свидетельства о регистрации Организации:</w:t>
            </w:r>
          </w:p>
        </w:tc>
        <w:tc>
          <w:tcPr>
            <w:tcW w:w="5326" w:type="dxa"/>
            <w:gridSpan w:val="6"/>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2458" w:type="dxa"/>
            <w:gridSpan w:val="3"/>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4471" w:type="dxa"/>
            <w:gridSpan w:val="2"/>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Телефон представителя Организации:</w:t>
            </w:r>
          </w:p>
        </w:tc>
        <w:tc>
          <w:tcPr>
            <w:tcW w:w="6570" w:type="dxa"/>
            <w:gridSpan w:val="9"/>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2458" w:type="dxa"/>
            <w:gridSpan w:val="3"/>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5499" w:type="dxa"/>
            <w:gridSpan w:val="4"/>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Электронная почта представителя Организации:</w:t>
            </w:r>
          </w:p>
        </w:tc>
        <w:tc>
          <w:tcPr>
            <w:tcW w:w="5542" w:type="dxa"/>
            <w:gridSpan w:val="7"/>
            <w:tcBorders>
              <w:top w:val="single" w:sz="4" w:space="0" w:color="auto"/>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2458" w:type="dxa"/>
            <w:gridSpan w:val="3"/>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Приложение: конкурсная работа на ___ листах.</w:t>
            </w:r>
          </w:p>
        </w:tc>
      </w:tr>
      <w:tr w:rsidR="00AB6C59" w:rsidRPr="00AB6C59">
        <w:tc>
          <w:tcPr>
            <w:tcW w:w="4978" w:type="dxa"/>
            <w:gridSpan w:val="3"/>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2128"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1919" w:type="dxa"/>
            <w:gridSpan w:val="2"/>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340" w:type="dxa"/>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2943" w:type="dxa"/>
            <w:gridSpan w:val="3"/>
            <w:tcBorders>
              <w:top w:val="nil"/>
              <w:left w:val="nil"/>
              <w:bottom w:val="single" w:sz="4" w:space="0" w:color="auto"/>
              <w:right w:val="nil"/>
            </w:tcBorders>
          </w:tcPr>
          <w:p w:rsidR="00AB6C59" w:rsidRPr="00AB6C59" w:rsidRDefault="00AB6C59">
            <w:pPr>
              <w:pStyle w:val="ConsPlusNormal"/>
              <w:rPr>
                <w:rFonts w:ascii="Times New Roman" w:hAnsi="Times New Roman" w:cs="Times New Roman"/>
                <w:szCs w:val="22"/>
              </w:rPr>
            </w:pPr>
          </w:p>
        </w:tc>
        <w:tc>
          <w:tcPr>
            <w:tcW w:w="1191" w:type="dxa"/>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4978" w:type="dxa"/>
            <w:gridSpan w:val="3"/>
            <w:tcBorders>
              <w:top w:val="single" w:sz="4" w:space="0" w:color="auto"/>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(наименование должностного лица некоммерческой организации)</w:t>
            </w:r>
          </w:p>
        </w:tc>
        <w:tc>
          <w:tcPr>
            <w:tcW w:w="2128" w:type="dxa"/>
            <w:gridSpan w:val="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1919" w:type="dxa"/>
            <w:gridSpan w:val="2"/>
            <w:tcBorders>
              <w:top w:val="single" w:sz="4" w:space="0" w:color="auto"/>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(подпись)</w:t>
            </w:r>
          </w:p>
        </w:tc>
        <w:tc>
          <w:tcPr>
            <w:tcW w:w="340" w:type="dxa"/>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c>
          <w:tcPr>
            <w:tcW w:w="2943" w:type="dxa"/>
            <w:gridSpan w:val="3"/>
            <w:tcBorders>
              <w:top w:val="single" w:sz="4" w:space="0" w:color="auto"/>
              <w:left w:val="nil"/>
              <w:bottom w:val="nil"/>
              <w:right w:val="nil"/>
            </w:tcBorders>
          </w:tcPr>
          <w:p w:rsidR="00AB6C59" w:rsidRPr="00AB6C59" w:rsidRDefault="00AB6C59">
            <w:pPr>
              <w:pStyle w:val="ConsPlusNormal"/>
              <w:jc w:val="center"/>
              <w:rPr>
                <w:rFonts w:ascii="Times New Roman" w:hAnsi="Times New Roman" w:cs="Times New Roman"/>
                <w:szCs w:val="22"/>
              </w:rPr>
            </w:pPr>
            <w:r w:rsidRPr="00AB6C59">
              <w:rPr>
                <w:rFonts w:ascii="Times New Roman" w:hAnsi="Times New Roman" w:cs="Times New Roman"/>
                <w:szCs w:val="22"/>
              </w:rPr>
              <w:t>(Ф.И.О.)</w:t>
            </w:r>
          </w:p>
        </w:tc>
        <w:tc>
          <w:tcPr>
            <w:tcW w:w="1191" w:type="dxa"/>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r w:rsidR="00AB6C59" w:rsidRPr="00AB6C59">
        <w:tc>
          <w:tcPr>
            <w:tcW w:w="13499" w:type="dxa"/>
            <w:gridSpan w:val="14"/>
            <w:tcBorders>
              <w:top w:val="nil"/>
              <w:left w:val="nil"/>
              <w:bottom w:val="nil"/>
              <w:right w:val="nil"/>
            </w:tcBorders>
          </w:tcPr>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"____" ____________ 20___ г.</w:t>
            </w:r>
          </w:p>
          <w:p w:rsidR="00AB6C59" w:rsidRPr="00AB6C59" w:rsidRDefault="00AB6C59">
            <w:pPr>
              <w:pStyle w:val="ConsPlusNormal"/>
              <w:jc w:val="both"/>
              <w:rPr>
                <w:rFonts w:ascii="Times New Roman" w:hAnsi="Times New Roman" w:cs="Times New Roman"/>
                <w:szCs w:val="22"/>
              </w:rPr>
            </w:pPr>
            <w:r w:rsidRPr="00AB6C59">
              <w:rPr>
                <w:rFonts w:ascii="Times New Roman" w:hAnsi="Times New Roman" w:cs="Times New Roman"/>
                <w:szCs w:val="22"/>
              </w:rPr>
              <w:t>М.П.</w:t>
            </w:r>
          </w:p>
        </w:tc>
      </w:tr>
      <w:tr w:rsidR="00AB6C59" w:rsidRPr="00AB6C59">
        <w:tc>
          <w:tcPr>
            <w:tcW w:w="13499" w:type="dxa"/>
            <w:gridSpan w:val="14"/>
            <w:tcBorders>
              <w:top w:val="nil"/>
              <w:left w:val="nil"/>
              <w:bottom w:val="nil"/>
              <w:right w:val="nil"/>
            </w:tcBorders>
          </w:tcPr>
          <w:p w:rsidR="00AB6C59" w:rsidRPr="00AB6C59" w:rsidRDefault="00AB6C59">
            <w:pPr>
              <w:pStyle w:val="ConsPlusNormal"/>
              <w:rPr>
                <w:rFonts w:ascii="Times New Roman" w:hAnsi="Times New Roman" w:cs="Times New Roman"/>
                <w:szCs w:val="22"/>
              </w:rPr>
            </w:pPr>
          </w:p>
        </w:tc>
      </w:tr>
    </w:tbl>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jc w:val="both"/>
        <w:rPr>
          <w:rFonts w:ascii="Times New Roman" w:hAnsi="Times New Roman" w:cs="Times New Roman"/>
          <w:szCs w:val="22"/>
        </w:rPr>
      </w:pPr>
    </w:p>
    <w:p w:rsidR="00AB6C59" w:rsidRPr="00AB6C59" w:rsidRDefault="00AB6C59">
      <w:pPr>
        <w:pStyle w:val="ConsPlusNormal"/>
        <w:pBdr>
          <w:bottom w:val="single" w:sz="6" w:space="0" w:color="auto"/>
        </w:pBdr>
        <w:spacing w:before="100" w:after="100"/>
        <w:jc w:val="both"/>
        <w:rPr>
          <w:rFonts w:ascii="Times New Roman" w:hAnsi="Times New Roman" w:cs="Times New Roman"/>
          <w:szCs w:val="22"/>
        </w:rPr>
      </w:pPr>
    </w:p>
    <w:p w:rsidR="00F91A24" w:rsidRPr="00AB6C59" w:rsidRDefault="00F91A24">
      <w:pPr>
        <w:rPr>
          <w:rFonts w:ascii="Times New Roman" w:hAnsi="Times New Roman" w:cs="Times New Roman"/>
        </w:rPr>
      </w:pPr>
    </w:p>
    <w:sectPr w:rsidR="00F91A24" w:rsidRPr="00AB6C5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59"/>
    <w:rsid w:val="00AB6C59"/>
    <w:rsid w:val="00F91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6C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6C5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C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6C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6C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17963" TargetMode="External"/><Relationship Id="rId13" Type="http://schemas.openxmlformats.org/officeDocument/2006/relationships/hyperlink" Target="https://login.consultant.ru/link/?req=doc&amp;base=RLAW256&amp;n=157616&amp;dst=100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256&amp;n=117798" TargetMode="External"/><Relationship Id="rId12" Type="http://schemas.openxmlformats.org/officeDocument/2006/relationships/hyperlink" Target="https://login.consultant.ru/link/?req=doc&amp;base=LAW&amp;n=389932" TargetMode="External"/><Relationship Id="rId17" Type="http://schemas.openxmlformats.org/officeDocument/2006/relationships/hyperlink" Target="https://login.consultant.ru/link/?req=doc&amp;base=RLAW256&amp;n=195310&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RLAW256&amp;n=195310&amp;dst=100006" TargetMode="External"/><Relationship Id="rId1" Type="http://schemas.openxmlformats.org/officeDocument/2006/relationships/styles" Target="styles.xml"/><Relationship Id="rId6" Type="http://schemas.openxmlformats.org/officeDocument/2006/relationships/hyperlink" Target="https://login.consultant.ru/link/?req=doc&amp;base=RLAW256&amp;n=157616&amp;dst=100024" TargetMode="External"/><Relationship Id="rId11" Type="http://schemas.openxmlformats.org/officeDocument/2006/relationships/hyperlink" Target="https://login.consultant.ru/link/?req=doc&amp;base=LAW&amp;n=422265" TargetMode="External"/><Relationship Id="rId5" Type="http://schemas.openxmlformats.org/officeDocument/2006/relationships/hyperlink" Target="https://login.consultant.ru/link/?req=doc&amp;base=RLAW256&amp;n=195310&amp;dst=100005" TargetMode="External"/><Relationship Id="rId15" Type="http://schemas.openxmlformats.org/officeDocument/2006/relationships/hyperlink" Target="https://login.consultant.ru/link/?req=doc&amp;base=RLAW256&amp;n=86144&amp;dst=100310" TargetMode="External"/><Relationship Id="rId10" Type="http://schemas.openxmlformats.org/officeDocument/2006/relationships/hyperlink" Target="https://login.consultant.ru/link/?req=doc&amp;base=LAW&amp;n=28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256&amp;n=195310&amp;dst=100005" TargetMode="External"/><Relationship Id="rId14" Type="http://schemas.openxmlformats.org/officeDocument/2006/relationships/hyperlink" Target="https://login.consultant.ru/link/?req=doc&amp;base=RLAW256&amp;n=157616&amp;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4305</Words>
  <Characters>24544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С. Шейкина</dc:creator>
  <cp:lastModifiedBy>Яна С. Шейкина</cp:lastModifiedBy>
  <cp:revision>1</cp:revision>
  <dcterms:created xsi:type="dcterms:W3CDTF">2025-11-24T06:07:00Z</dcterms:created>
  <dcterms:modified xsi:type="dcterms:W3CDTF">2025-11-24T06:09:00Z</dcterms:modified>
</cp:coreProperties>
</file>